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2012/186 vom 27. März 2015</w:t>
      </w:r>
    </w:p>
    <w:p>
      <w:r>
        <w:t>Sg Versicherungsgericht, 2015-03-27, DE</w:t>
      </w:r>
    </w:p>
    <w:p>
      <w:r>
        <w:rPr>
          <w:b/>
        </w:rPr>
        <w:t xml:space="preserve">Quelle: </w:t>
      </w:r>
      <w:r>
        <w:t>https://mcp.opencaselaw.ch/entscheid/sg_publikationen_IV 2012_186</w:t>
      </w:r>
    </w:p>
    <w:p>
      <w:r>
        <w:t>FR: SG_VERSICHERUNGSGERICHT IV 2012/186 du 27 mars 2015</w:t>
      </w:r>
    </w:p>
    <w:p>
      <w:r>
        <w:t>IT: SG_VERSICHERUNGSGERICHT IV 2012/186 del 27 marzo 2015</w:t>
      </w:r>
    </w:p>
    <w:p>
      <w:pPr>
        <w:pStyle w:val="Heading2"/>
      </w:pPr>
      <w:r>
        <w:t>Regeste</w:t>
      </w:r>
    </w:p>
    <w:p>
      <w:r>
        <w:t>Art. 28 IVG. Anspruch auf Rente verneint. Würdigung Gerichtsgutachten nach Observation (Entscheid des Versicherungsgerichts des Kantons St. Gallen vom 27. März 2015, IV 2012/186).</w:t>
      </w:r>
    </w:p>
    <w:p>
      <w:pPr>
        <w:pStyle w:val="Heading2"/>
      </w:pPr>
      <w:r>
        <w:t>Erwägungen</w:t>
      </w:r>
    </w:p>
    <w:p>
      <w:r>
        <w:rPr>
          <w:b/>
        </w:rPr>
        <w:t>E. 1</w:t>
      </w:r>
    </w:p>
    <w:p>
      <w:r>
        <w:t>Zwischen den Parteien ist der Rentenanspruch (Verfügung vom 27. März 2012) um­stritten.</w:t>
      </w:r>
    </w:p>
    <w:p>
      <w:r>
        <w:rPr>
          <w:b/>
        </w:rPr>
        <w:t>E. 2.1</w:t>
      </w:r>
    </w:p>
    <w:p>
      <w:r>
        <w:t>Am 1. Januar 2008 sind die neuen Normen der 5. IV-Revision und am 1. Januar 2012 sind die im Zuge der 6a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Rentenverfügung ist am 27. März 2012 ergangen, wobei ein Sachverhalt zu beurteilen ist, der vor dem Inkrafttreten der revidierten Bestimmungen der 5. und 6a IV-Revision begonnen hat (Anmeldung vom 22. Juli 2007, act. G 4.1.1). Daher und auf Grund dessen, dass der Rechtsstreit eine Dauerleistung betrifft, über die noch nicht rechtskräftig verfügt wurde, ist entsprechend den allgemeinen intertemporalrechtlichen Regeln für die Zeit bis 31. Dezember 2008 bzw. bis 31. Dezember 2011 auf die damals geltenden Bestimmungen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2.4</w:t>
      </w:r>
    </w:p>
    <w:p>
      <w:r>
        <w:t>Nach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Zunächst ist festzuhalten, dass die Parteien keine Einwände gegen das Gerichtsgutachten erhoben haben. Auch an dem vom Beschwerdeführer im Vorfeld geltend gemachten Vorbehalt, dass durch die frühere Tätigkeit des begutachtenden Psychiaters Dr. J.___ im Jahr 2005 für den RAD K.___ seine fachliche Unabhängigkeit in Frage gestellt sein könnte (act. G 15), wurde sodann nicht weiter festgehalten. Weder erschiene generell lediglich auf Grund einer Jahre zurückliegenden Tätigkeit für einen RAD die ärztliche Unabhängigkeit gefährdet, noch ergeben sich aus dem vorliegenden Gutachten irgendwelche Zweifel an der Unabhängigkeit des Gutachters.</w:t>
      </w:r>
    </w:p>
    <w:p>
      <w:r>
        <w:rPr>
          <w:b/>
        </w:rPr>
        <w:t>E. 4.1</w:t>
      </w:r>
    </w:p>
    <w:p>
      <w:r>
        <w:t>Der psychiatrische Gutachter Dr. J.___ stellte anlässlich seiner Begutachtung vom 7. Mai 2014 einen aus psychiatrischer und psychopathologischer Sicht weitgehend unauffälligen Befund fest. Die gutachterliche Untersuchung des Beschwerdeführers sei in dessen Muttersprache X.___ und auch die testpsychologische Untersuchung sei in X.___- Sprache durchgeführt worden. Schliesslich seien auch transkulturelle Aspekte berücksichtigt worden und das zur Verfügung gestellte Videomaterial sei in voller Länge durch den Gutachter besichtigt worden (vgl. act. G 22 S. 40 f). Im Gutachten vom 30. Januar 2015 kam Dr. J.___ zum Schluss, dass beim Beschwerdeführer unter Berücksichtigung der gesamten medizinischen Daten und der aktuellen Untersuchungsbefunde eine psychiatrische Störung mit Krankheitswert gemäss den diagnostischen Kriterien nach ICD-10 nicht festgestellt werden könne. Die Symptome einer affektiven Störung oder einer psychotischen Erkrankung seien nicht auszumachen. Eine hirnorganische Funktionsstörung liege ebenfalls nicht vor. Die Symptome einer Persönlichkeitsstörung gemäss ICD-10 seien nicht erfüllt gewesen (act. G 22 S. 43). Schliesslich könne auch die Diagnose einer somatoformen Schmerzstörung oder einer Schmerzverarbeitungsstörung mit eigenständigem Krankheitswert nicht gestellt werden. Zusammenfassend könne aus psychiatrischer Sicht weder aktuell noch anamnestisch eine erhebliche Einschränkung der Arbeitsfähigkeit aus gutachterlicher Sicht festgestellt werden. Ein behandlungsbedürftiges psychiatrisches Krankheitsbild liege nicht vor. Rehabilitationsmassnahmen seien aus psychiatrischer Sicht nicht zu empfehlen. Zwar könnten berufliche Massnahmen sowie Wiedereingliederungsmassnahmen ab sofort umgesetzt werden. Nach jedoch jahrelanger Arbeitslosigkeit und Untätigkeit bei der vorliegenden Kränkung und der trotzigen Haltung sei eher mit geringen Erfolgschancen solcher Wiedereingliederungsmassnahmen zu rechnen (act. G 22 S. 49).</w:t>
      </w:r>
    </w:p>
    <w:p>
      <w:r>
        <w:rPr>
          <w:b/>
        </w:rPr>
        <w:t>E. 4.2</w:t>
      </w:r>
    </w:p>
    <w:p>
      <w:r>
        <w:t>Bei der Würdigung der gerichtsgutachterlichen Beurteilung fällt ins Gewicht, dass sie auf eigenständigen Abklärungen beruht und für die streitigen Belange umfassend ist. Die medizinischen Vorakten wurden verwertet und diskutiert. Abweichungen von den Vorakten wurden eingehend und nachvollziehbar begründet. Die vom Beschwerdeführer geklagten Beschwerden wurden umfassend berücksichtigt und gewürdigt. Die Attestierung einer 100%igen Arbeitsfähigkeit aus psychiatrischer Sicht leuchtet in der Darlegung der medizinischen Zusammenhänge und in der Beurteilung der medizinischen Situation ein. Weiter bestehen keine Anhaltspunkte dafür und es wird auch nicht geltend gemacht, dass objektiv wesentliche Tatsachen nicht berücksichtigt worden wären (vgl. act. G 22 S. 24 f.).</w:t>
      </w:r>
    </w:p>
    <w:p>
      <w:r>
        <w:rPr>
          <w:b/>
        </w:rPr>
        <w:t>E. 4.3</w:t>
      </w:r>
    </w:p>
    <w:p>
      <w:r>
        <w:t>Gestützt auf das unbestritten gebliebene Gerichtsgutachten ist mit überwiegender Wahrscheinlichkeit davon auszugehen, dass der Beschwerdeführer für leidensangepasste Tätigkeiten aus psychiatrischer Sicht vollständig arbeitsfähig ist. Auch für die Vergangenheit verneinte der Gutachter eine relevante Einschränkung der Arbeitsfähigkeit wegen einer depressiven Symptomatologie (act. G 22 S. 49 f.).</w:t>
      </w:r>
    </w:p>
    <w:p>
      <w:r>
        <w:rPr>
          <w:b/>
        </w:rPr>
        <w:t>E. 5</w:t>
      </w:r>
    </w:p>
    <w:p>
      <w:r>
        <w:t>Nachdem aus somatischer Sicht bereits auf Grund der früheren Beurteilungen eine leidensangepasste Tätigkeit für uneingeschränkt zumutbar erachtet wurde (vgl. RAD-Abklärung vom 4. August 2008 und MEDAS-Gutachten vom 19. November 2009), resultiert keine rentenbegründende Erwerbseinbusse. Beim zumutbaren Invalideneinkommen wäre nämlich auf Grund der im Tagesverlauf zu 20% sitzend auszuführenden Tätigkeiten ohne wiederholtes Lastenheben von mehr als 15 kg und ohne Zwangshaltungen für Kopf und Oberkörper (vgl. IV-act. 92-23) ein Leidensabzug von maximal 10% begründet. Damit kann offen bleiben, von welchem konkreten Validen- und Invalideneinkommen auszugehen wäre. Der Beschwerdeführer hat somit keinen Anspruch auf eine Rente.</w:t>
      </w:r>
    </w:p>
    <w:p>
      <w:r>
        <w:rPr>
          <w:b/>
        </w:rPr>
        <w:t>E. 6.1</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w:t>
      </w:r>
    </w:p>
    <w:p>
      <w:r>
        <w:rPr>
          <w:b/>
        </w:rPr>
        <w:t>E. 6.2</w:t>
      </w:r>
    </w:p>
    <w:p>
      <w:r>
        <w:t>In Nachachtung der bundesgerichtlichen Rechtsprechung hat die Beschwerdegegnerin die für das Gerichtsgutachten angefallenen Kosten von Fr. 7'065.35 (act. G 22.1) zu tragen (BGE 137 V 265 f. E. 4.4.2).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daran angerechnet. 3.  Die Beschwerdegegnerin hat die Kosten des Gerichtsgutachtens von Fr. 7'065.35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